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C753" w14:textId="77777777" w:rsidR="006F6D82" w:rsidRDefault="002C4D0F" w:rsidP="00B317B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5FFE" wp14:editId="24609DC3">
                <wp:simplePos x="0" y="0"/>
                <wp:positionH relativeFrom="margin">
                  <wp:posOffset>-533400</wp:posOffset>
                </wp:positionH>
                <wp:positionV relativeFrom="paragraph">
                  <wp:posOffset>1270</wp:posOffset>
                </wp:positionV>
                <wp:extent cx="6918960" cy="1143000"/>
                <wp:effectExtent l="0" t="0" r="1524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1143000"/>
                        </a:xfrm>
                        <a:prstGeom prst="rect">
                          <a:avLst/>
                        </a:prstGeom>
                        <a:solidFill>
                          <a:srgbClr val="248C5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DE86D" w14:textId="77777777" w:rsidR="00D22D31" w:rsidRPr="00AD06DC" w:rsidRDefault="002C4D0F" w:rsidP="0037795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D06DC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Total Fire Ban Activity Checklist – </w:t>
                            </w:r>
                            <w:r w:rsidR="009230EB" w:rsidRPr="00AD06DC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  <w:t>Hot Work</w:t>
                            </w:r>
                          </w:p>
                          <w:p w14:paraId="1B6A7D22" w14:textId="77777777" w:rsidR="002C4D0F" w:rsidRDefault="00D22D31" w:rsidP="00D22D3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</w:pPr>
                            <w:r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 xml:space="preserve">** </w:t>
                            </w:r>
                            <w:r w:rsidR="002C4D0F"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 xml:space="preserve">see </w:t>
                            </w:r>
                            <w:r w:rsidR="002C4D0F" w:rsidRPr="00AD06DC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</w:rPr>
                              <w:t>Bush Fires Regulations 195</w:t>
                            </w:r>
                            <w:r w:rsidRPr="00AD06DC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</w:rPr>
                              <w:t>4</w:t>
                            </w:r>
                            <w:r w:rsidR="002C4D0F"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 xml:space="preserve"> r</w:t>
                            </w:r>
                            <w:r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 xml:space="preserve">egulations </w:t>
                            </w:r>
                            <w:r w:rsidR="00377953"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24</w:t>
                            </w:r>
                            <w:r w:rsidR="009230EB" w:rsidRPr="00AD06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E-24J</w:t>
                            </w:r>
                          </w:p>
                          <w:p w14:paraId="5F4F4B87" w14:textId="77777777" w:rsidR="00B004AF" w:rsidRPr="00B004AF" w:rsidRDefault="00B004AF" w:rsidP="00D22D3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B004AF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</w:rPr>
                              <w:t xml:space="preserve">Total Fire Bans (section 22C Bush Fires Act 1954) only apply to those activities being carried out in the open air, open air is defined as: </w:t>
                            </w:r>
                            <w:r w:rsidRPr="00B004AF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0"/>
                              </w:rPr>
                              <w:t>anywhere that is not fully enclosed by a building or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05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.1pt;width:544.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" fillcolor="#248c51" strokeweight=".5pt">
                <v:textbox>
                  <w:txbxContent>
                    <w:p w14:paraId="491DE86D" w14:textId="77777777" w:rsidR="00D22D31" w:rsidRPr="00AD06DC" w:rsidRDefault="002C4D0F" w:rsidP="0037795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  <w:r w:rsidRPr="00AD06DC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 xml:space="preserve">Total Fire Ban Activity Checklist – </w:t>
                      </w:r>
                      <w:r w:rsidR="009230EB" w:rsidRPr="00AD06DC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>Hot Work</w:t>
                      </w:r>
                    </w:p>
                    <w:p w14:paraId="1B6A7D22" w14:textId="77777777" w:rsidR="002C4D0F" w:rsidRDefault="00D22D31" w:rsidP="00D22D31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</w:pPr>
                      <w:r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 xml:space="preserve">** </w:t>
                      </w:r>
                      <w:r w:rsidR="002C4D0F"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 xml:space="preserve">see </w:t>
                      </w:r>
                      <w:r w:rsidR="002C4D0F" w:rsidRPr="00AD06DC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</w:rPr>
                        <w:t>Bush Fires Regulations 195</w:t>
                      </w:r>
                      <w:r w:rsidRPr="00AD06DC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</w:rPr>
                        <w:t>4</w:t>
                      </w:r>
                      <w:r w:rsidR="002C4D0F"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 xml:space="preserve"> r</w:t>
                      </w:r>
                      <w:r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 xml:space="preserve">egulations </w:t>
                      </w:r>
                      <w:r w:rsidR="00377953"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24</w:t>
                      </w:r>
                      <w:r w:rsidR="009230EB" w:rsidRPr="00AD06DC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E-24J</w:t>
                      </w:r>
                    </w:p>
                    <w:p w14:paraId="5F4F4B87" w14:textId="77777777" w:rsidR="00B004AF" w:rsidRPr="00B004AF" w:rsidRDefault="00B004AF" w:rsidP="00D22D31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0"/>
                        </w:rPr>
                      </w:pPr>
                      <w:r w:rsidRPr="00B004AF"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</w:rPr>
                        <w:t xml:space="preserve">Total Fire Bans (section 22C Bush Fires Act 1954) only apply to those activities being carried out in the open air, open air is defined as: </w:t>
                      </w:r>
                      <w:r w:rsidRPr="00B004AF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0"/>
                        </w:rPr>
                        <w:t>anywhere that is not fully enclosed by a building or structure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9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756"/>
        <w:gridCol w:w="756"/>
        <w:gridCol w:w="756"/>
        <w:gridCol w:w="35"/>
      </w:tblGrid>
      <w:tr w:rsidR="00862E77" w:rsidRPr="005A220C" w14:paraId="0A4E8A17" w14:textId="77777777" w:rsidTr="00A41733">
        <w:trPr>
          <w:tblHeader/>
        </w:trPr>
        <w:tc>
          <w:tcPr>
            <w:tcW w:w="10951" w:type="dxa"/>
            <w:gridSpan w:val="6"/>
            <w:shd w:val="clear" w:color="auto" w:fill="248C51"/>
          </w:tcPr>
          <w:p w14:paraId="2675A52E" w14:textId="77777777" w:rsidR="00862E77" w:rsidRPr="005A220C" w:rsidRDefault="00862E77" w:rsidP="00D22D31">
            <w:pPr>
              <w:jc w:val="right"/>
              <w:rPr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  </w:t>
            </w:r>
            <w:r w:rsidRPr="00D22D31">
              <w:rPr>
                <w:color w:val="FFFFFF" w:themeColor="background1"/>
                <w:sz w:val="28"/>
              </w:rPr>
              <w:t>Total Fire Ban</w:t>
            </w:r>
            <w:r>
              <w:rPr>
                <w:color w:val="FFFFFF" w:themeColor="background1"/>
                <w:sz w:val="28"/>
              </w:rPr>
              <w:t xml:space="preserve"> </w:t>
            </w:r>
            <w:r w:rsidR="00017EC1">
              <w:rPr>
                <w:color w:val="FFFFFF" w:themeColor="background1"/>
                <w:sz w:val="28"/>
              </w:rPr>
              <w:t>–</w:t>
            </w:r>
            <w:r w:rsidRPr="00D22D31">
              <w:rPr>
                <w:color w:val="FFFFFF" w:themeColor="background1"/>
                <w:sz w:val="28"/>
              </w:rPr>
              <w:t xml:space="preserve"> </w:t>
            </w:r>
            <w:r w:rsidR="00017EC1">
              <w:rPr>
                <w:color w:val="FFFFFF" w:themeColor="background1"/>
                <w:sz w:val="28"/>
              </w:rPr>
              <w:t>Hot Work</w:t>
            </w:r>
            <w:r w:rsidRPr="00D22D31">
              <w:rPr>
                <w:color w:val="FFFFFF" w:themeColor="background1"/>
                <w:sz w:val="28"/>
              </w:rPr>
              <w:t xml:space="preserve"> Activity checklist</w:t>
            </w:r>
          </w:p>
        </w:tc>
      </w:tr>
      <w:tr w:rsidR="003018FE" w14:paraId="312ECE51" w14:textId="77777777" w:rsidTr="00A41733">
        <w:trPr>
          <w:gridAfter w:val="1"/>
          <w:wAfter w:w="35" w:type="dxa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144690" w14:textId="77777777" w:rsidR="003018FE" w:rsidRPr="00862E77" w:rsidRDefault="003018FE" w:rsidP="00862E77">
            <w:pPr>
              <w:rPr>
                <w:b/>
                <w:sz w:val="16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5EE3AA3F" w14:textId="77777777" w:rsidR="003018FE" w:rsidRPr="00862E77" w:rsidRDefault="003018FE" w:rsidP="00862E77">
            <w:pPr>
              <w:rPr>
                <w:b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5F072BF9" w14:textId="77777777" w:rsidR="003018FE" w:rsidRPr="00862E77" w:rsidRDefault="003018FE" w:rsidP="00862E77">
            <w:pPr>
              <w:rPr>
                <w:b/>
              </w:rPr>
            </w:pPr>
            <w:r>
              <w:rPr>
                <w:b/>
              </w:rPr>
              <w:t xml:space="preserve">Do you comply? </w:t>
            </w:r>
          </w:p>
        </w:tc>
      </w:tr>
      <w:tr w:rsidR="00862E77" w14:paraId="57DCBB04" w14:textId="77777777" w:rsidTr="00A41733">
        <w:trPr>
          <w:gridAfter w:val="1"/>
          <w:wAfter w:w="35" w:type="dxa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ADD19D" w14:textId="77777777" w:rsidR="00862E77" w:rsidRPr="00862E77" w:rsidRDefault="00862E77" w:rsidP="00862E77">
            <w:pPr>
              <w:rPr>
                <w:b/>
              </w:rPr>
            </w:pPr>
            <w:r w:rsidRPr="00862E77">
              <w:rPr>
                <w:b/>
                <w:sz w:val="16"/>
              </w:rPr>
              <w:t>Regulation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64F6C39" w14:textId="77777777" w:rsidR="00862E77" w:rsidRPr="00862E77" w:rsidRDefault="00862E77" w:rsidP="00862E77">
            <w:pPr>
              <w:rPr>
                <w:b/>
              </w:rPr>
            </w:pPr>
            <w:r w:rsidRPr="00862E77">
              <w:rPr>
                <w:b/>
              </w:rPr>
              <w:t>Check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2FF787AC" w14:textId="77777777" w:rsidR="00862E77" w:rsidRPr="00862E77" w:rsidRDefault="00862E77" w:rsidP="00862E77">
            <w:pPr>
              <w:rPr>
                <w:b/>
              </w:rPr>
            </w:pPr>
            <w:r w:rsidRPr="00862E77">
              <w:rPr>
                <w:b/>
              </w:rPr>
              <w:t>Yes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61C9778" w14:textId="77777777" w:rsidR="00862E77" w:rsidRPr="00862E77" w:rsidRDefault="00862E77" w:rsidP="00862E77">
            <w:pPr>
              <w:rPr>
                <w:b/>
              </w:rPr>
            </w:pPr>
            <w:r w:rsidRPr="00862E77">
              <w:rPr>
                <w:b/>
              </w:rPr>
              <w:t xml:space="preserve">No 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51EBA318" w14:textId="77777777" w:rsidR="00862E77" w:rsidRPr="00862E77" w:rsidRDefault="00862E77" w:rsidP="00862E77">
            <w:pPr>
              <w:rPr>
                <w:b/>
              </w:rPr>
            </w:pPr>
            <w:r w:rsidRPr="00862E77">
              <w:rPr>
                <w:b/>
              </w:rPr>
              <w:t>N/A</w:t>
            </w:r>
          </w:p>
        </w:tc>
      </w:tr>
      <w:tr w:rsidR="00D0237B" w14:paraId="1B51AB34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49FF667D" w14:textId="77777777" w:rsidR="00D0237B" w:rsidRPr="00B004AF" w:rsidRDefault="00D0237B" w:rsidP="008458C2">
            <w:pPr>
              <w:pStyle w:val="Tabletext"/>
              <w:spacing w:before="0" w:after="0"/>
              <w:rPr>
                <w:rFonts w:asciiTheme="majorHAnsi" w:hAnsiTheme="majorHAnsi" w:cstheme="majorHAnsi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Cs w:val="18"/>
              </w:rPr>
              <w:t>r.24E</w:t>
            </w:r>
            <w:proofErr w:type="spellEnd"/>
            <w:r>
              <w:rPr>
                <w:rFonts w:asciiTheme="majorHAnsi" w:hAnsiTheme="majorHAnsi" w:cstheme="majorHAnsi"/>
                <w:szCs w:val="18"/>
              </w:rPr>
              <w:t>(a)</w:t>
            </w:r>
          </w:p>
        </w:tc>
        <w:tc>
          <w:tcPr>
            <w:tcW w:w="7088" w:type="dxa"/>
            <w:vAlign w:val="center"/>
          </w:tcPr>
          <w:p w14:paraId="660BA1AC" w14:textId="77777777" w:rsidR="00D0237B" w:rsidRPr="00B004AF" w:rsidRDefault="00D0237B" w:rsidP="008458C2">
            <w:pPr>
              <w:pStyle w:val="Tabletext"/>
              <w:spacing w:before="0" w:after="0"/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Hot Work does not include rail grinding (see definition</w:t>
            </w:r>
            <w:r w:rsidR="00110033">
              <w:rPr>
                <w:rFonts w:asciiTheme="majorHAnsi" w:hAnsiTheme="majorHAnsi" w:cstheme="majorHAnsi"/>
                <w:szCs w:val="18"/>
              </w:rPr>
              <w:t xml:space="preserve"> next page</w:t>
            </w:r>
            <w:r>
              <w:rPr>
                <w:rFonts w:asciiTheme="majorHAnsi" w:hAnsiTheme="majorHAnsi" w:cstheme="majorHAnsi"/>
                <w:szCs w:val="18"/>
              </w:rPr>
              <w:t>)</w:t>
            </w:r>
          </w:p>
        </w:tc>
        <w:tc>
          <w:tcPr>
            <w:tcW w:w="756" w:type="dxa"/>
          </w:tcPr>
          <w:p w14:paraId="674642A3" w14:textId="77777777" w:rsidR="00D0237B" w:rsidRPr="00017EC1" w:rsidRDefault="00D0237B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0D774A6C" w14:textId="77777777" w:rsidR="00D0237B" w:rsidRPr="00017EC1" w:rsidRDefault="00D0237B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346ED798" w14:textId="77777777" w:rsidR="00D0237B" w:rsidRPr="00017EC1" w:rsidRDefault="00D0237B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3A28B308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27219A39" w14:textId="77777777" w:rsidR="008458C2" w:rsidRPr="00B004AF" w:rsidRDefault="008458C2" w:rsidP="008458C2">
            <w:pPr>
              <w:pStyle w:val="Tabletext"/>
              <w:spacing w:before="0" w:after="0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r.24E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</w:t>
            </w:r>
            <w:r w:rsidR="00D0237B">
              <w:rPr>
                <w:rFonts w:asciiTheme="majorHAnsi" w:hAnsiTheme="majorHAnsi" w:cstheme="majorHAnsi"/>
                <w:szCs w:val="18"/>
              </w:rPr>
              <w:t>b</w:t>
            </w:r>
            <w:r w:rsidRPr="00B004AF">
              <w:rPr>
                <w:rFonts w:asciiTheme="majorHAnsi" w:hAnsiTheme="majorHAnsi" w:cstheme="majorHAnsi"/>
                <w:szCs w:val="18"/>
              </w:rPr>
              <w:t>)</w:t>
            </w:r>
          </w:p>
        </w:tc>
        <w:tc>
          <w:tcPr>
            <w:tcW w:w="7088" w:type="dxa"/>
            <w:vAlign w:val="center"/>
          </w:tcPr>
          <w:p w14:paraId="4F263640" w14:textId="77777777" w:rsidR="008458C2" w:rsidRPr="00B004AF" w:rsidRDefault="008458C2" w:rsidP="008458C2">
            <w:pPr>
              <w:pStyle w:val="Tabletext"/>
              <w:spacing w:before="0" w:after="0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Activity is being carried out by business or industry, or by or on behalf of, a public authority.</w:t>
            </w:r>
            <w:r w:rsidR="00425D7F" w:rsidRPr="00B004AF">
              <w:rPr>
                <w:rFonts w:asciiTheme="majorHAnsi" w:hAnsiTheme="majorHAnsi" w:cstheme="majorHAnsi"/>
                <w:szCs w:val="18"/>
              </w:rPr>
              <w:t xml:space="preserve"> i.e. the general public cannot carry out this activity during a TFB. </w:t>
            </w:r>
          </w:p>
        </w:tc>
        <w:tc>
          <w:tcPr>
            <w:tcW w:w="756" w:type="dxa"/>
          </w:tcPr>
          <w:p w14:paraId="07FC2246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EBB95E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D7344F2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2A45ABC5" w14:textId="77777777" w:rsidTr="00A41733">
        <w:trPr>
          <w:gridAfter w:val="1"/>
          <w:wAfter w:w="35" w:type="dxa"/>
          <w:trHeight w:val="964"/>
        </w:trPr>
        <w:tc>
          <w:tcPr>
            <w:tcW w:w="1560" w:type="dxa"/>
            <w:vAlign w:val="center"/>
          </w:tcPr>
          <w:p w14:paraId="46691FCF" w14:textId="77777777" w:rsidR="008458C2" w:rsidRPr="00B004AF" w:rsidRDefault="008458C2" w:rsidP="008458C2">
            <w:pPr>
              <w:pStyle w:val="Tabletext"/>
              <w:spacing w:before="0" w:after="0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r.24F(1),(2)</w:t>
            </w:r>
          </w:p>
        </w:tc>
        <w:tc>
          <w:tcPr>
            <w:tcW w:w="7088" w:type="dxa"/>
            <w:vAlign w:val="center"/>
          </w:tcPr>
          <w:p w14:paraId="49F6233D" w14:textId="2990FC5D" w:rsidR="008458C2" w:rsidRPr="00B004AF" w:rsidRDefault="002D75D6" w:rsidP="002D131F">
            <w:pPr>
              <w:pStyle w:val="Tabletext"/>
              <w:spacing w:before="0" w:after="0"/>
              <w:rPr>
                <w:rFonts w:asciiTheme="majorHAnsi" w:hAnsiTheme="majorHAnsi" w:cstheme="majorHAnsi"/>
                <w:szCs w:val="18"/>
              </w:rPr>
            </w:pPr>
            <w:r w:rsidRPr="005D1F08">
              <w:rPr>
                <w:rFonts w:asciiTheme="majorHAnsi" w:hAnsiTheme="majorHAnsi" w:cstheme="majorHAnsi"/>
              </w:rPr>
              <w:t xml:space="preserve">Fire Danger forecast is </w:t>
            </w:r>
            <w:r w:rsidRPr="005D1F08">
              <w:rPr>
                <w:rFonts w:asciiTheme="majorHAnsi" w:hAnsiTheme="majorHAnsi" w:cstheme="majorHAnsi"/>
                <w:b/>
                <w:u w:val="single"/>
              </w:rPr>
              <w:t xml:space="preserve">not </w:t>
            </w:r>
            <w:r w:rsidRPr="005D1F08">
              <w:rPr>
                <w:rFonts w:asciiTheme="majorHAnsi" w:hAnsiTheme="majorHAnsi" w:cstheme="majorHAnsi"/>
              </w:rPr>
              <w:t xml:space="preserve">catastrophic </w:t>
            </w:r>
            <w:r w:rsidRPr="005D1F08">
              <w:rPr>
                <w:rFonts w:asciiTheme="majorHAnsi" w:hAnsiTheme="majorHAnsi" w:cstheme="majorHAnsi"/>
                <w:i/>
              </w:rPr>
              <w:t xml:space="preserve">(if catastrophic - work must stop unless it is being carried out </w:t>
            </w:r>
            <w:r>
              <w:rPr>
                <w:rFonts w:asciiTheme="majorHAnsi" w:hAnsiTheme="majorHAnsi" w:cstheme="majorHAnsi"/>
                <w:i/>
              </w:rPr>
              <w:t xml:space="preserve">in </w:t>
            </w:r>
            <w:r w:rsidRPr="00C11BEA">
              <w:rPr>
                <w:rFonts w:asciiTheme="majorHAnsi" w:hAnsiTheme="majorHAnsi" w:cstheme="majorHAnsi"/>
                <w:i/>
              </w:rPr>
              <w:t>relation to the provision of an essential service</w:t>
            </w:r>
            <w:r>
              <w:rPr>
                <w:rFonts w:asciiTheme="majorHAnsi" w:hAnsiTheme="majorHAnsi" w:cstheme="majorHAnsi"/>
                <w:i/>
              </w:rPr>
              <w:t xml:space="preserve">) </w:t>
            </w:r>
            <w:hyperlink r:id="rId8" w:anchor="firedangerratings" w:history="1">
              <w:r w:rsidRPr="005D1F08">
                <w:rPr>
                  <w:rStyle w:val="Hyperlink"/>
                  <w:rFonts w:asciiTheme="majorHAnsi" w:hAnsiTheme="majorHAnsi" w:cstheme="majorHAnsi"/>
                </w:rPr>
                <w:t>https://www.emergency.wa.gov.au/index.html#firedangerratings</w:t>
              </w:r>
            </w:hyperlink>
          </w:p>
        </w:tc>
        <w:tc>
          <w:tcPr>
            <w:tcW w:w="756" w:type="dxa"/>
          </w:tcPr>
          <w:p w14:paraId="02B2A93D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B1346F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4D96B90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0E59A179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4DDB7710" w14:textId="77777777" w:rsidR="008458C2" w:rsidRPr="00B004AF" w:rsidRDefault="008458C2" w:rsidP="008458C2">
            <w:pPr>
              <w:pStyle w:val="Tabletext"/>
              <w:spacing w:before="0" w:after="0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r.24G</w:t>
            </w:r>
            <w:proofErr w:type="spellEnd"/>
          </w:p>
        </w:tc>
        <w:tc>
          <w:tcPr>
            <w:tcW w:w="7088" w:type="dxa"/>
            <w:vAlign w:val="center"/>
          </w:tcPr>
          <w:p w14:paraId="77737A20" w14:textId="77777777" w:rsidR="008458C2" w:rsidRPr="00B004AF" w:rsidRDefault="008458C2" w:rsidP="008458C2">
            <w:pPr>
              <w:pStyle w:val="Tabletext"/>
              <w:spacing w:before="0" w:after="0"/>
              <w:ind w:left="31"/>
              <w:rPr>
                <w:rStyle w:val="Hyperlink"/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Notification provided to DFES and LG via online notification form. </w:t>
            </w:r>
            <w:r w:rsidR="009B5C15" w:rsidRPr="00B004AF">
              <w:rPr>
                <w:rStyle w:val="Hyperlink"/>
                <w:rFonts w:asciiTheme="majorHAnsi" w:hAnsiTheme="majorHAnsi" w:cstheme="majorHAnsi"/>
                <w:szCs w:val="18"/>
              </w:rPr>
              <w:t>https://dfeswa.tod.net.au/incidents/new/3d2fd2f6598ce7bb63b923363ef6a04b</w:t>
            </w:r>
          </w:p>
          <w:p w14:paraId="24210B3F" w14:textId="77777777" w:rsidR="008458C2" w:rsidRPr="00B004AF" w:rsidRDefault="008458C2" w:rsidP="008458C2">
            <w:pPr>
              <w:pStyle w:val="Tabletext"/>
              <w:spacing w:before="0" w:after="0"/>
              <w:ind w:left="31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If work is being carried out within </w:t>
            </w: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3kms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 xml:space="preserve"> of land managed by Parks and Wildlife, you must also notify them prior to starting work. </w:t>
            </w:r>
          </w:p>
        </w:tc>
        <w:tc>
          <w:tcPr>
            <w:tcW w:w="756" w:type="dxa"/>
          </w:tcPr>
          <w:p w14:paraId="22B93FD6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37D2C750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C352859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098655BF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1F9448D8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r.24H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</w:t>
            </w:r>
            <w:r w:rsidR="002D75D6">
              <w:rPr>
                <w:rFonts w:asciiTheme="majorHAnsi" w:hAnsiTheme="majorHAnsi" w:cstheme="majorHAnsi"/>
                <w:szCs w:val="18"/>
              </w:rPr>
              <w:t>1</w:t>
            </w:r>
            <w:r w:rsidRPr="00B004AF">
              <w:rPr>
                <w:rFonts w:asciiTheme="majorHAnsi" w:hAnsiTheme="majorHAnsi" w:cstheme="majorHAnsi"/>
                <w:szCs w:val="18"/>
              </w:rPr>
              <w:t>)</w:t>
            </w:r>
          </w:p>
        </w:tc>
        <w:tc>
          <w:tcPr>
            <w:tcW w:w="7088" w:type="dxa"/>
            <w:vAlign w:val="center"/>
          </w:tcPr>
          <w:p w14:paraId="16BB4E8D" w14:textId="77777777" w:rsidR="008458C2" w:rsidRPr="00B004AF" w:rsidRDefault="002D75D6" w:rsidP="008458C2">
            <w:pPr>
              <w:pStyle w:val="Tabletext"/>
              <w:jc w:val="both"/>
              <w:rPr>
                <w:rFonts w:asciiTheme="majorHAnsi" w:hAnsiTheme="majorHAnsi" w:cstheme="majorHAnsi"/>
                <w:i/>
                <w:szCs w:val="18"/>
              </w:rPr>
            </w:pPr>
            <w:r w:rsidRPr="002D75D6">
              <w:rPr>
                <w:rFonts w:asciiTheme="majorHAnsi" w:hAnsiTheme="majorHAnsi" w:cstheme="majorHAnsi"/>
                <w:szCs w:val="18"/>
              </w:rPr>
              <w:t xml:space="preserve">Fire-resistant barriers of a height sufficient to prevent the escape of hot particles or sparks </w:t>
            </w:r>
            <w:r>
              <w:rPr>
                <w:rFonts w:asciiTheme="majorHAnsi" w:hAnsiTheme="majorHAnsi" w:cstheme="majorHAnsi"/>
                <w:szCs w:val="18"/>
              </w:rPr>
              <w:t>are</w:t>
            </w:r>
            <w:r w:rsidRPr="002D75D6">
              <w:rPr>
                <w:rFonts w:asciiTheme="majorHAnsi" w:hAnsiTheme="majorHAnsi" w:cstheme="majorHAnsi"/>
                <w:szCs w:val="18"/>
              </w:rPr>
              <w:t xml:space="preserve"> placed around the hot work</w:t>
            </w:r>
            <w:r>
              <w:rPr>
                <w:rFonts w:asciiTheme="majorHAnsi" w:hAnsiTheme="majorHAnsi" w:cstheme="majorHAnsi"/>
                <w:szCs w:val="18"/>
              </w:rPr>
              <w:t>?</w:t>
            </w:r>
          </w:p>
        </w:tc>
        <w:tc>
          <w:tcPr>
            <w:tcW w:w="756" w:type="dxa"/>
          </w:tcPr>
          <w:p w14:paraId="2AC14706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53CE75D0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328A9517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087E7012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01943152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r.24H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(3)(a)(b)</w:t>
            </w:r>
          </w:p>
        </w:tc>
        <w:tc>
          <w:tcPr>
            <w:tcW w:w="7088" w:type="dxa"/>
            <w:vAlign w:val="center"/>
          </w:tcPr>
          <w:p w14:paraId="2D34BB5B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Is the ground within a 10 m radius of the hot work clear of flammable material and damped down with water</w:t>
            </w:r>
            <w:r w:rsidR="002D75D6">
              <w:rPr>
                <w:rFonts w:asciiTheme="majorHAnsi" w:hAnsiTheme="majorHAnsi" w:cstheme="majorHAnsi"/>
                <w:szCs w:val="18"/>
              </w:rPr>
              <w:t xml:space="preserve"> (where required)</w:t>
            </w:r>
            <w:r w:rsidRPr="00B004AF">
              <w:rPr>
                <w:rFonts w:asciiTheme="majorHAnsi" w:hAnsiTheme="majorHAnsi" w:cstheme="majorHAnsi"/>
                <w:szCs w:val="18"/>
              </w:rPr>
              <w:t>?</w:t>
            </w:r>
          </w:p>
        </w:tc>
        <w:tc>
          <w:tcPr>
            <w:tcW w:w="756" w:type="dxa"/>
          </w:tcPr>
          <w:p w14:paraId="5B045E1C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519B4B86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4DAD32B0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7836E036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759E05C1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r.24H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(4)</w:t>
            </w:r>
          </w:p>
        </w:tc>
        <w:tc>
          <w:tcPr>
            <w:tcW w:w="7088" w:type="dxa"/>
            <w:vAlign w:val="center"/>
          </w:tcPr>
          <w:p w14:paraId="4A4FA530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Fire breaks meet LG requirements (if applicable).</w:t>
            </w:r>
          </w:p>
        </w:tc>
        <w:tc>
          <w:tcPr>
            <w:tcW w:w="756" w:type="dxa"/>
          </w:tcPr>
          <w:p w14:paraId="6C8107D0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D15AD8D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33AFBEC8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3656D421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6C44647C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r.24I(1)</w:t>
            </w:r>
          </w:p>
        </w:tc>
        <w:tc>
          <w:tcPr>
            <w:tcW w:w="7088" w:type="dxa"/>
            <w:vAlign w:val="center"/>
          </w:tcPr>
          <w:p w14:paraId="16CFE668" w14:textId="77777777" w:rsidR="008458C2" w:rsidRPr="00B004AF" w:rsidRDefault="002D75D6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2D75D6">
              <w:rPr>
                <w:rFonts w:asciiTheme="majorHAnsi" w:hAnsiTheme="majorHAnsi" w:cstheme="majorHAnsi"/>
                <w:szCs w:val="18"/>
              </w:rPr>
              <w:t>At least 2 approved fire extinguishers in proper working order must be located in close proximity to the hot work.</w:t>
            </w:r>
            <w:r w:rsidRPr="002D75D6" w:rsidDel="002D75D6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5D1F08">
              <w:rPr>
                <w:rFonts w:asciiTheme="majorHAnsi" w:hAnsiTheme="majorHAnsi" w:cstheme="majorHAnsi"/>
                <w:szCs w:val="20"/>
              </w:rPr>
              <w:t>(must be 18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5D1F08">
              <w:rPr>
                <w:rFonts w:asciiTheme="majorHAnsi" w:hAnsiTheme="majorHAnsi" w:cstheme="majorHAnsi"/>
                <w:szCs w:val="20"/>
              </w:rPr>
              <w:t>kg</w:t>
            </w:r>
            <w:r>
              <w:rPr>
                <w:rFonts w:asciiTheme="majorHAnsi" w:hAnsiTheme="majorHAnsi" w:cstheme="majorHAnsi"/>
                <w:szCs w:val="20"/>
              </w:rPr>
              <w:t xml:space="preserve"> or 18 L</w:t>
            </w:r>
            <w:r w:rsidRPr="005D1F08">
              <w:rPr>
                <w:rFonts w:asciiTheme="majorHAnsi" w:hAnsiTheme="majorHAnsi" w:cstheme="majorHAnsi"/>
                <w:szCs w:val="20"/>
              </w:rPr>
              <w:t xml:space="preserve"> total capacity e.g. 2 x 9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5D1F08">
              <w:rPr>
                <w:rFonts w:asciiTheme="majorHAnsi" w:hAnsiTheme="majorHAnsi" w:cstheme="majorHAnsi"/>
                <w:szCs w:val="20"/>
              </w:rPr>
              <w:t>kg or 4 x 4.5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5D1F08">
              <w:rPr>
                <w:rFonts w:asciiTheme="majorHAnsi" w:hAnsiTheme="majorHAnsi" w:cstheme="majorHAnsi"/>
                <w:szCs w:val="20"/>
              </w:rPr>
              <w:t>kg</w:t>
            </w:r>
            <w:r>
              <w:rPr>
                <w:rFonts w:asciiTheme="majorHAnsi" w:hAnsiTheme="majorHAnsi" w:cstheme="majorHAnsi"/>
                <w:szCs w:val="20"/>
              </w:rPr>
              <w:t xml:space="preserve"> etc</w:t>
            </w:r>
            <w:r w:rsidRPr="005D1F08">
              <w:rPr>
                <w:rFonts w:asciiTheme="majorHAnsi" w:hAnsiTheme="majorHAnsi" w:cstheme="majorHAnsi"/>
                <w:szCs w:val="20"/>
              </w:rPr>
              <w:t>).</w:t>
            </w:r>
          </w:p>
        </w:tc>
        <w:tc>
          <w:tcPr>
            <w:tcW w:w="756" w:type="dxa"/>
          </w:tcPr>
          <w:p w14:paraId="40C6D2E9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6961827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7294C09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55E91EA7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3C14CE2E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r.24I(2)</w:t>
            </w:r>
          </w:p>
        </w:tc>
        <w:tc>
          <w:tcPr>
            <w:tcW w:w="7088" w:type="dxa"/>
            <w:vAlign w:val="center"/>
          </w:tcPr>
          <w:p w14:paraId="05368C89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If hot work is carried 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>out within 30 m of land where there is bush, crop, pasture or stubble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 firefighting water volume required has been met according to fire danger forecast:</w:t>
            </w:r>
          </w:p>
          <w:p w14:paraId="38200648" w14:textId="1B7E507E" w:rsidR="008458C2" w:rsidRPr="00B004AF" w:rsidRDefault="009D169C" w:rsidP="008458C2">
            <w:pPr>
              <w:pStyle w:val="Tabletext"/>
              <w:ind w:left="315"/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Moderate </w:t>
            </w:r>
            <w:r w:rsidR="008458C2" w:rsidRPr="00B004AF">
              <w:rPr>
                <w:rFonts w:asciiTheme="majorHAnsi" w:hAnsiTheme="majorHAnsi" w:cstheme="majorHAnsi"/>
                <w:szCs w:val="18"/>
              </w:rPr>
              <w:t>= 1,000 L</w:t>
            </w:r>
          </w:p>
          <w:p w14:paraId="3F9DC4A9" w14:textId="57E2BDAD" w:rsidR="008458C2" w:rsidRPr="00B004AF" w:rsidRDefault="009D169C" w:rsidP="008458C2">
            <w:pPr>
              <w:pStyle w:val="Tabletext"/>
              <w:ind w:left="315"/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High</w:t>
            </w:r>
            <w:r w:rsidR="008458C2" w:rsidRPr="00B004AF">
              <w:rPr>
                <w:rFonts w:asciiTheme="majorHAnsi" w:hAnsiTheme="majorHAnsi" w:cstheme="majorHAnsi"/>
                <w:szCs w:val="18"/>
              </w:rPr>
              <w:t xml:space="preserve"> = 1,500 L</w:t>
            </w:r>
          </w:p>
          <w:p w14:paraId="50D926F5" w14:textId="77777777" w:rsidR="008458C2" w:rsidRDefault="008458C2" w:rsidP="009D169C">
            <w:pPr>
              <w:pStyle w:val="Tabletext"/>
              <w:ind w:left="315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Extreme = 2,500 L</w:t>
            </w:r>
          </w:p>
          <w:p w14:paraId="4813108D" w14:textId="5C48E608" w:rsidR="009D169C" w:rsidRPr="00B004AF" w:rsidRDefault="00602D17" w:rsidP="00A41733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When the fire danger forecast issued by the Bureau of Meteorology is </w:t>
            </w:r>
            <w:r>
              <w:rPr>
                <w:rFonts w:asciiTheme="majorHAnsi" w:hAnsiTheme="majorHAnsi" w:cstheme="majorHAnsi"/>
                <w:i/>
                <w:iCs/>
                <w:szCs w:val="18"/>
              </w:rPr>
              <w:t xml:space="preserve">no-rating </w:t>
            </w:r>
            <w:r>
              <w:rPr>
                <w:rFonts w:asciiTheme="majorHAnsi" w:hAnsiTheme="majorHAnsi" w:cstheme="majorHAnsi"/>
                <w:szCs w:val="18"/>
              </w:rPr>
              <w:t>a minimum of 500L of water must be available at the worksite in one or more firefighting vehicles.</w:t>
            </w:r>
          </w:p>
        </w:tc>
        <w:tc>
          <w:tcPr>
            <w:tcW w:w="756" w:type="dxa"/>
          </w:tcPr>
          <w:p w14:paraId="1E6EC97E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B349934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4BE61CB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7ABD85C7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6B49DC02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r.24I(3)</w:t>
            </w:r>
          </w:p>
        </w:tc>
        <w:tc>
          <w:tcPr>
            <w:tcW w:w="7088" w:type="dxa"/>
            <w:vAlign w:val="center"/>
          </w:tcPr>
          <w:p w14:paraId="0B8A35C9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If r.24I(2) applies – is the water required contained in 1 or more approved fire fighting vehicles?</w:t>
            </w:r>
          </w:p>
        </w:tc>
        <w:tc>
          <w:tcPr>
            <w:tcW w:w="756" w:type="dxa"/>
          </w:tcPr>
          <w:p w14:paraId="503E19A4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796A7633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044589A1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79742F8F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53C22E82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r.24I(4)(a)(b)</w:t>
            </w:r>
          </w:p>
        </w:tc>
        <w:tc>
          <w:tcPr>
            <w:tcW w:w="7088" w:type="dxa"/>
            <w:vAlign w:val="center"/>
          </w:tcPr>
          <w:p w14:paraId="5B7F1DF2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All fire fighting vehicles required are located in close proximity to the hot work AND are capable of traversing the work site </w:t>
            </w:r>
            <w:r w:rsidRPr="00B004AF">
              <w:rPr>
                <w:rFonts w:asciiTheme="majorHAnsi" w:hAnsiTheme="majorHAnsi" w:cstheme="majorHAnsi"/>
                <w:i/>
                <w:szCs w:val="18"/>
              </w:rPr>
              <w:t>(i.e. the vehicles mobile – not on a trailer which has been unhitched and left on the side of the work site)</w:t>
            </w:r>
          </w:p>
        </w:tc>
        <w:tc>
          <w:tcPr>
            <w:tcW w:w="756" w:type="dxa"/>
          </w:tcPr>
          <w:p w14:paraId="36ACBC42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BBF06AC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0A6FAE08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5B71944C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79518C2A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r.24I(5)(a)(b)</w:t>
            </w:r>
          </w:p>
        </w:tc>
        <w:tc>
          <w:tcPr>
            <w:tcW w:w="7088" w:type="dxa"/>
            <w:vAlign w:val="center"/>
          </w:tcPr>
          <w:p w14:paraId="487B13FB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If r.24I(4) applies – the fire fighting vehicles will remain on the work site at all times AND remain on the work site for at least 30 minutes AFTER the hot work is completed.</w:t>
            </w:r>
          </w:p>
        </w:tc>
        <w:tc>
          <w:tcPr>
            <w:tcW w:w="756" w:type="dxa"/>
          </w:tcPr>
          <w:p w14:paraId="34BA4D3D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A31FAD1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A702614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1960E331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2F5308F1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r.24I(6)</w:t>
            </w:r>
          </w:p>
        </w:tc>
        <w:tc>
          <w:tcPr>
            <w:tcW w:w="7088" w:type="dxa"/>
            <w:vAlign w:val="center"/>
          </w:tcPr>
          <w:p w14:paraId="1F8ADD85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Is there a reticulated water supply within 1 km of the hot work?  </w:t>
            </w:r>
          </w:p>
        </w:tc>
        <w:tc>
          <w:tcPr>
            <w:tcW w:w="756" w:type="dxa"/>
          </w:tcPr>
          <w:p w14:paraId="2D60F43C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7B866F1F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F61E37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2D7C28C3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34F88BDE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r.24I(7)9(a)(b)</w:t>
            </w:r>
          </w:p>
        </w:tc>
        <w:tc>
          <w:tcPr>
            <w:tcW w:w="7088" w:type="dxa"/>
            <w:vAlign w:val="center"/>
          </w:tcPr>
          <w:p w14:paraId="3E1A9EE9" w14:textId="77777777" w:rsidR="00B004AF" w:rsidRPr="00B004AF" w:rsidRDefault="008458C2" w:rsidP="000F59E4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If there is no reticulated water supply within 1 km of the hot work – is there a bulk water supply tanker carrying 5,000 L or more of water on the work site at all times AND will the tanker remain on the work site for at least 30 minutes AFTER the hot work is complete. </w:t>
            </w:r>
            <w:r w:rsidRPr="00B004AF">
              <w:rPr>
                <w:rFonts w:asciiTheme="majorHAnsi" w:hAnsiTheme="majorHAnsi" w:cstheme="majorHAnsi"/>
                <w:i/>
                <w:szCs w:val="18"/>
              </w:rPr>
              <w:t>** this is in addition to firefighting requirements under r.24I(2).</w:t>
            </w:r>
          </w:p>
        </w:tc>
        <w:tc>
          <w:tcPr>
            <w:tcW w:w="756" w:type="dxa"/>
          </w:tcPr>
          <w:p w14:paraId="1E4F33A1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5F7C58F0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406CEAE5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4D5C6EFC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0F3484F4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r.24J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(1)</w:t>
            </w:r>
          </w:p>
        </w:tc>
        <w:tc>
          <w:tcPr>
            <w:tcW w:w="7088" w:type="dxa"/>
            <w:vAlign w:val="center"/>
          </w:tcPr>
          <w:p w14:paraId="6CDD3C63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At all times during the hot work being carried out there is at least 1 able bodied person </w:t>
            </w:r>
            <w:r w:rsidRPr="00B004AF">
              <w:rPr>
                <w:rFonts w:asciiTheme="majorHAnsi" w:hAnsiTheme="majorHAnsi" w:cstheme="majorHAnsi"/>
                <w:b/>
                <w:i/>
                <w:szCs w:val="18"/>
              </w:rPr>
              <w:t>(fire detection officer),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other than the person carrying out the hot work, who is </w:t>
            </w:r>
            <w:r w:rsidRPr="00B004AF">
              <w:rPr>
                <w:rFonts w:asciiTheme="majorHAnsi" w:hAnsiTheme="majorHAnsi" w:cstheme="majorHAnsi"/>
                <w:szCs w:val="18"/>
                <w:u w:val="single"/>
              </w:rPr>
              <w:lastRenderedPageBreak/>
              <w:t>dedicated solely to detecting and supressing any fire caused by hot work</w:t>
            </w:r>
            <w:r w:rsidRPr="00B004AF">
              <w:rPr>
                <w:rFonts w:asciiTheme="majorHAnsi" w:hAnsiTheme="majorHAnsi" w:cstheme="majorHAnsi"/>
                <w:szCs w:val="18"/>
              </w:rPr>
              <w:t>, and who is in close proximity to the hot work.</w:t>
            </w:r>
          </w:p>
        </w:tc>
        <w:tc>
          <w:tcPr>
            <w:tcW w:w="756" w:type="dxa"/>
          </w:tcPr>
          <w:p w14:paraId="7E628132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4035646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F117FB1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6154ECF4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6E1A9089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r.24J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(2)(a)</w:t>
            </w:r>
          </w:p>
        </w:tc>
        <w:tc>
          <w:tcPr>
            <w:tcW w:w="7088" w:type="dxa"/>
            <w:vAlign w:val="center"/>
          </w:tcPr>
          <w:p w14:paraId="0C27D38E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Is the </w:t>
            </w:r>
            <w:r w:rsidRPr="00B004AF">
              <w:rPr>
                <w:rFonts w:asciiTheme="majorHAnsi" w:hAnsiTheme="majorHAnsi" w:cstheme="majorHAnsi"/>
                <w:i/>
                <w:szCs w:val="18"/>
              </w:rPr>
              <w:t>fire detection officer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 xml:space="preserve">trained in </w:t>
            </w:r>
            <w:r w:rsidRPr="00B004AF">
              <w:rPr>
                <w:rFonts w:asciiTheme="majorHAnsi" w:hAnsiTheme="majorHAnsi" w:cstheme="majorHAnsi"/>
                <w:szCs w:val="18"/>
              </w:rPr>
              <w:t>the operation of the approved fire extinguishers?</w:t>
            </w:r>
          </w:p>
        </w:tc>
        <w:tc>
          <w:tcPr>
            <w:tcW w:w="756" w:type="dxa"/>
          </w:tcPr>
          <w:p w14:paraId="6EEBA4C2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11C8CD4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F537FA7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731E1172" w14:textId="77777777" w:rsidTr="00A41733">
        <w:trPr>
          <w:gridAfter w:val="1"/>
          <w:wAfter w:w="35" w:type="dxa"/>
        </w:trPr>
        <w:tc>
          <w:tcPr>
            <w:tcW w:w="1560" w:type="dxa"/>
            <w:vAlign w:val="center"/>
          </w:tcPr>
          <w:p w14:paraId="12132AD4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>[</w:t>
            </w: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r.24J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(2)(b)(i)(ii)</w:t>
            </w:r>
          </w:p>
        </w:tc>
        <w:tc>
          <w:tcPr>
            <w:tcW w:w="7088" w:type="dxa"/>
            <w:vAlign w:val="center"/>
          </w:tcPr>
          <w:p w14:paraId="045EC6DC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If the hot work is within 30 m of land which there is bush or which is under crop or pasture or stubble – is the </w:t>
            </w:r>
            <w:r w:rsidRPr="00B004AF">
              <w:rPr>
                <w:rFonts w:asciiTheme="majorHAnsi" w:hAnsiTheme="majorHAnsi" w:cstheme="majorHAnsi"/>
                <w:i/>
                <w:szCs w:val="18"/>
              </w:rPr>
              <w:t>fire detection officer</w:t>
            </w:r>
            <w:r w:rsidRPr="00B004AF">
              <w:rPr>
                <w:rFonts w:asciiTheme="majorHAnsi" w:hAnsiTheme="majorHAnsi" w:cstheme="majorHAnsi"/>
                <w:b/>
                <w:i/>
                <w:szCs w:val="18"/>
              </w:rPr>
              <w:t xml:space="preserve"> 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trained in both the 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>operation of the fire fighting vehicles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 required under R.24I(3) </w:t>
            </w:r>
            <w:r w:rsidRPr="00B004AF">
              <w:rPr>
                <w:rFonts w:asciiTheme="majorHAnsi" w:hAnsiTheme="majorHAnsi" w:cstheme="majorHAnsi"/>
                <w:szCs w:val="18"/>
                <w:u w:val="single"/>
              </w:rPr>
              <w:t>AND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 xml:space="preserve"> the suppression and fighting of bush fire.</w:t>
            </w:r>
          </w:p>
        </w:tc>
        <w:tc>
          <w:tcPr>
            <w:tcW w:w="756" w:type="dxa"/>
          </w:tcPr>
          <w:p w14:paraId="42FF901B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61483FC3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BC30185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2A0C97E6" w14:textId="77777777" w:rsidTr="00A41733">
        <w:trPr>
          <w:gridAfter w:val="1"/>
          <w:wAfter w:w="35" w:type="dxa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904337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r.24J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(3)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06F781D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  <w:szCs w:val="18"/>
              </w:rPr>
            </w:pPr>
            <w:r w:rsidRPr="00B004AF">
              <w:rPr>
                <w:rFonts w:asciiTheme="majorHAnsi" w:hAnsiTheme="majorHAnsi" w:cstheme="majorHAnsi"/>
                <w:szCs w:val="18"/>
              </w:rPr>
              <w:t xml:space="preserve">The 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>fire detection officer</w:t>
            </w:r>
            <w:r w:rsidRPr="00B004AF">
              <w:rPr>
                <w:rFonts w:asciiTheme="majorHAnsi" w:hAnsiTheme="majorHAnsi" w:cstheme="majorHAnsi"/>
                <w:i/>
                <w:szCs w:val="18"/>
              </w:rPr>
              <w:t xml:space="preserve"> </w:t>
            </w:r>
            <w:r w:rsidRPr="00B004AF">
              <w:rPr>
                <w:rFonts w:asciiTheme="majorHAnsi" w:hAnsiTheme="majorHAnsi" w:cstheme="majorHAnsi"/>
                <w:b/>
                <w:szCs w:val="18"/>
                <w:u w:val="single"/>
              </w:rPr>
              <w:t>AND</w:t>
            </w:r>
            <w:r w:rsidRPr="00B004AF">
              <w:rPr>
                <w:rFonts w:asciiTheme="majorHAnsi" w:hAnsiTheme="majorHAnsi" w:cstheme="majorHAnsi"/>
                <w:b/>
                <w:szCs w:val="18"/>
              </w:rPr>
              <w:t xml:space="preserve"> at least 1 other able-bodied person</w:t>
            </w:r>
            <w:r w:rsidRPr="00B004AF">
              <w:rPr>
                <w:rFonts w:asciiTheme="majorHAnsi" w:hAnsiTheme="majorHAnsi" w:cstheme="majorHAnsi"/>
                <w:szCs w:val="18"/>
              </w:rPr>
              <w:t xml:space="preserve"> will remain on the work site for at least 30 minutes AFTER the hot work is completed</w:t>
            </w:r>
            <w:r w:rsidR="00425D7F" w:rsidRPr="00B004AF">
              <w:rPr>
                <w:rFonts w:asciiTheme="majorHAnsi" w:hAnsiTheme="majorHAnsi" w:cstheme="majorHAnsi"/>
                <w:szCs w:val="18"/>
              </w:rPr>
              <w:t xml:space="preserve">. This will ensure </w:t>
            </w:r>
          </w:p>
        </w:tc>
        <w:tc>
          <w:tcPr>
            <w:tcW w:w="756" w:type="dxa"/>
          </w:tcPr>
          <w:p w14:paraId="3F5FAFED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54ECE433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1EFB4ED9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  <w:tr w:rsidR="008458C2" w14:paraId="681831BB" w14:textId="77777777" w:rsidTr="00A41733">
        <w:trPr>
          <w:gridAfter w:val="1"/>
          <w:wAfter w:w="35" w:type="dxa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2C2DD1" w14:textId="77777777" w:rsidR="008458C2" w:rsidRPr="00B004AF" w:rsidRDefault="008458C2" w:rsidP="008458C2">
            <w:pPr>
              <w:pStyle w:val="Tabletext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004AF">
              <w:rPr>
                <w:rFonts w:asciiTheme="majorHAnsi" w:hAnsiTheme="majorHAnsi" w:cstheme="majorHAnsi"/>
                <w:szCs w:val="18"/>
              </w:rPr>
              <w:t>r.24J</w:t>
            </w:r>
            <w:proofErr w:type="spellEnd"/>
            <w:r w:rsidRPr="00B004AF">
              <w:rPr>
                <w:rFonts w:asciiTheme="majorHAnsi" w:hAnsiTheme="majorHAnsi" w:cstheme="majorHAnsi"/>
                <w:szCs w:val="18"/>
              </w:rPr>
              <w:t>(4)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9E68DE7" w14:textId="77777777" w:rsidR="008458C2" w:rsidRPr="00B004AF" w:rsidRDefault="008458C2" w:rsidP="008458C2">
            <w:pPr>
              <w:pStyle w:val="Tabletext"/>
              <w:jc w:val="both"/>
              <w:rPr>
                <w:rFonts w:asciiTheme="majorHAnsi" w:hAnsiTheme="majorHAnsi" w:cstheme="majorHAnsi"/>
              </w:rPr>
            </w:pPr>
            <w:r w:rsidRPr="00B004AF">
              <w:rPr>
                <w:rFonts w:asciiTheme="majorHAnsi" w:hAnsiTheme="majorHAnsi" w:cstheme="majorHAnsi"/>
              </w:rPr>
              <w:t>The persons referred to above will only leave the work site after they are satisfied there is no fire, or anything likely to cause a fire, on the work site.</w:t>
            </w:r>
          </w:p>
        </w:tc>
        <w:tc>
          <w:tcPr>
            <w:tcW w:w="756" w:type="dxa"/>
          </w:tcPr>
          <w:p w14:paraId="1CDED51A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2BA1F56D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756" w:type="dxa"/>
          </w:tcPr>
          <w:p w14:paraId="7F512C2A" w14:textId="77777777" w:rsidR="008458C2" w:rsidRPr="00017EC1" w:rsidRDefault="008458C2" w:rsidP="008458C2">
            <w:pPr>
              <w:spacing w:before="60" w:after="60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0338B11F" w14:textId="77777777" w:rsidR="00377953" w:rsidRDefault="003018FE" w:rsidP="006F6D82">
      <w:pPr>
        <w:rPr>
          <w:rFonts w:ascii="Calibri" w:hAnsi="Calibri" w:cs="Calibri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04A1F" wp14:editId="5AAE677F">
                <wp:simplePos x="0" y="0"/>
                <wp:positionH relativeFrom="margin">
                  <wp:posOffset>-533400</wp:posOffset>
                </wp:positionH>
                <wp:positionV relativeFrom="paragraph">
                  <wp:posOffset>95885</wp:posOffset>
                </wp:positionV>
                <wp:extent cx="6926580" cy="6012815"/>
                <wp:effectExtent l="0" t="0" r="26670" b="260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580" cy="6012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888E033" w14:textId="77777777" w:rsidR="003018FE" w:rsidRDefault="003018FE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u w:val="single"/>
                              </w:rPr>
                            </w:pPr>
                            <w:r w:rsidRPr="006F6D82">
                              <w:rPr>
                                <w:rFonts w:ascii="Calibri" w:hAnsi="Calibri" w:cs="Calibri"/>
                                <w:b/>
                                <w:sz w:val="28"/>
                                <w:u w:val="single"/>
                              </w:rPr>
                              <w:t xml:space="preserve">Definitions: </w:t>
                            </w:r>
                          </w:p>
                          <w:p w14:paraId="760DD12D" w14:textId="77777777" w:rsidR="003018FE" w:rsidRPr="00AE6EC4" w:rsidRDefault="003018FE" w:rsidP="00EF789F">
                            <w:pPr>
                              <w:spacing w:before="80" w:line="240" w:lineRule="auto"/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AE6EC4"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Essential service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means any of the following — water supply, sewerage or drainage services;</w:t>
                            </w:r>
                            <w:r w:rsidRPr="00115620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electricity or gas services;</w:t>
                            </w:r>
                            <w:r w:rsidRPr="00115620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telecommunications services;</w:t>
                            </w:r>
                            <w:r w:rsidR="00EF789F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public transport services;</w:t>
                            </w:r>
                            <w:r w:rsidR="00EF789F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rubbish collection or disposal services</w:t>
                            </w:r>
                            <w:r w:rsidR="00863D3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.</w:t>
                            </w:r>
                          </w:p>
                          <w:p w14:paraId="0B1EB239" w14:textId="77777777" w:rsidR="003018FE" w:rsidRPr="00115620" w:rsidRDefault="003018FE" w:rsidP="0011562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5620">
                              <w:rPr>
                                <w:b/>
                                <w:sz w:val="20"/>
                                <w:szCs w:val="20"/>
                              </w:rPr>
                              <w:t>Urgent works</w:t>
                            </w:r>
                            <w:r w:rsidRPr="00115620">
                              <w:rPr>
                                <w:sz w:val="20"/>
                                <w:szCs w:val="20"/>
                              </w:rPr>
                              <w:t>, in relation to the provision of an essential service, means repairs or maintenance necessary for the continued provision, or restoration, of the service.</w:t>
                            </w:r>
                          </w:p>
                          <w:p w14:paraId="33A7E663" w14:textId="77777777" w:rsidR="003018FE" w:rsidRPr="00AE6EC4" w:rsidRDefault="003018FE" w:rsidP="00115620">
                            <w:pPr>
                              <w:spacing w:line="240" w:lineRule="auto"/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115620">
                              <w:rPr>
                                <w:b/>
                                <w:sz w:val="20"/>
                                <w:szCs w:val="20"/>
                              </w:rPr>
                              <w:t>Approved fire extinguisher</w:t>
                            </w:r>
                            <w:r w:rsidRPr="00115620">
                              <w:rPr>
                                <w:sz w:val="20"/>
                                <w:szCs w:val="20"/>
                              </w:rPr>
                              <w:t xml:space="preserve"> means a fire extinguisher suitable to extinguish a fire likely to occur in relation to the activity; and has a capacity of at least 9 kg or 9 L; and complies with the current Australian Standards.</w:t>
                            </w:r>
                          </w:p>
                          <w:p w14:paraId="4B3E27D9" w14:textId="77777777" w:rsidR="003018FE" w:rsidRPr="00AE6EC4" w:rsidRDefault="003018FE" w:rsidP="00115620">
                            <w:pPr>
                              <w:spacing w:before="80" w:line="240" w:lineRule="auto"/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AE6EC4"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Approved Fire Fighting Vehicle: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means a vehicle that — </w:t>
                            </w:r>
                            <w:r w:rsidRPr="00115620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(a)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ab/>
                              <w:t>has 1 or more water storage tanks mounted upon it; and  (b) is located in close proximity to the hot work (c) is capable of traversing the site (d) is equipped with: at least 20 m of 19 mm diameter fire hose fitted with an adjustable nozzle in proper working order, having a full spray pattern capable of projecting a 6 m jet of water; AND a pump in proper working order that is capable of delivering a minimum of 120 L of water per minute at 700 kPa through the hose.</w:t>
                            </w:r>
                          </w:p>
                          <w:p w14:paraId="2A8B9F67" w14:textId="77777777" w:rsidR="003018FE" w:rsidRPr="00AE6EC4" w:rsidRDefault="003018FE" w:rsidP="00115620">
                            <w:pPr>
                              <w:spacing w:before="80" w:line="240" w:lineRule="auto"/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AE6EC4"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Hot work: 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means the operation in the open air of — (a) welding apparatus of any kind; or (b) power operated abrasive cutting discs of any kind.</w:t>
                            </w:r>
                          </w:p>
                          <w:p w14:paraId="496EF7A7" w14:textId="77777777" w:rsidR="003018FE" w:rsidRPr="00AE6EC4" w:rsidRDefault="003018FE" w:rsidP="00115620">
                            <w:pPr>
                              <w:spacing w:before="80" w:line="240" w:lineRule="auto"/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AE6EC4"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Fire Break Notice: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means a notice issued by the relevant local government under section 33(1) of the </w:t>
                            </w:r>
                            <w:r w:rsidRPr="00AE6EC4">
                              <w:rPr>
                                <w:rFonts w:ascii="Calibri" w:eastAsia="Times New Roman" w:hAnsi="Calibri" w:cs="Calibri"/>
                                <w:i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Bush Fires Act 1954.</w:t>
                            </w:r>
                          </w:p>
                          <w:p w14:paraId="411F9537" w14:textId="71FE38F1" w:rsidR="003018FE" w:rsidRPr="00AE6EC4" w:rsidRDefault="003018FE" w:rsidP="00115620">
                            <w:pPr>
                              <w:spacing w:before="80" w:line="240" w:lineRule="auto"/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AE6EC4"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Fire Detection Officer:</w:t>
                            </w:r>
                            <w:r w:rsidR="003F41EA" w:rsidRPr="003F41EA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means an able-bodied person, in addition to the person carrying out the </w:t>
                            </w:r>
                            <w:r w:rsidR="003F41EA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hot</w:t>
                            </w:r>
                            <w:r w:rsidR="003F41EA" w:rsidRPr="003F41EA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work, who is trained in: the operation of approved fire extinguishers, and the operation of </w:t>
                            </w:r>
                            <w:r w:rsidR="00520B7E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>any required</w:t>
                            </w:r>
                            <w:r w:rsidR="003F41EA" w:rsidRPr="003F41EA">
                              <w:rPr>
                                <w:rFonts w:ascii="Calibri" w:eastAsia="Times New Roman" w:hAnsi="Calibri" w:cs="Calibri"/>
                                <w:snapToGrid w:val="0"/>
                                <w:sz w:val="20"/>
                                <w:szCs w:val="20"/>
                                <w:lang w:eastAsia="en-AU"/>
                              </w:rPr>
                              <w:t xml:space="preserve"> approved firefighting vehicle located on the site, AND if within 30m of vegetation, the suppression and fighting of bush fire.</w:t>
                            </w:r>
                          </w:p>
                          <w:p w14:paraId="73AC26C2" w14:textId="77777777" w:rsidR="003018FE" w:rsidRPr="00115620" w:rsidRDefault="003018FE" w:rsidP="00115620">
                            <w:pPr>
                              <w:pStyle w:val="Defstart"/>
                              <w:spacing w:after="160" w:line="240" w:lineRule="auto"/>
                              <w:ind w:left="0" w:firstLine="0"/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</w:pP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i w:val="0"/>
                                <w:sz w:val="20"/>
                              </w:rPr>
                              <w:t>Bush:</w:t>
                            </w: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 xml:space="preserve"> The </w:t>
                            </w: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sz w:val="20"/>
                              </w:rPr>
                              <w:t xml:space="preserve">Bush Fires Act 1954 </w:t>
                            </w: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>defines bush as follows - bush includes trees, bushes, plants, stubble, scrub, and undergrowth of all kinds whatsoever whether alive or dead and whether standing or not standing and also a part of a tree, bush, plant, or undergrowth, and whether severed therefrom or not so severed.</w:t>
                            </w:r>
                            <w:r w:rsidR="008F789C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 xml:space="preserve"> ** to simplify – this definition refers to vegetation. </w:t>
                            </w:r>
                          </w:p>
                          <w:p w14:paraId="2E57E121" w14:textId="77777777" w:rsidR="003018FE" w:rsidRDefault="003018FE">
                            <w:pPr>
                              <w:pStyle w:val="Defstart"/>
                              <w:spacing w:line="360" w:lineRule="auto"/>
                              <w:ind w:left="0" w:firstLine="0"/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</w:pP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i w:val="0"/>
                                <w:sz w:val="20"/>
                              </w:rPr>
                              <w:t>Open Air:</w:t>
                            </w:r>
                            <w:r w:rsidRPr="00115620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 xml:space="preserve"> Open air means anywhere that is not fully enclosed by a building or structure.</w:t>
                            </w:r>
                          </w:p>
                          <w:p w14:paraId="7C64842E" w14:textId="53FB2F20" w:rsidR="00D0237B" w:rsidRDefault="00D0237B" w:rsidP="002D131F">
                            <w:pPr>
                              <w:pStyle w:val="Defstart"/>
                              <w:spacing w:line="276" w:lineRule="auto"/>
                              <w:ind w:left="0" w:firstLine="0"/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</w:pPr>
                            <w:r w:rsidRPr="002D131F">
                              <w:rPr>
                                <w:rStyle w:val="CharDefText"/>
                                <w:rFonts w:ascii="Calibri" w:hAnsi="Calibri" w:cs="Calibri"/>
                                <w:i w:val="0"/>
                                <w:sz w:val="20"/>
                              </w:rPr>
                              <w:t>Rail Grinding</w:t>
                            </w:r>
                            <w:r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>: means hot work involving the grinding of tracks for railways for the purpose of constructing</w:t>
                            </w:r>
                            <w:r w:rsidR="002D131F"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>, maintaining or repairing the tracks.</w:t>
                            </w:r>
                          </w:p>
                          <w:p w14:paraId="664BC427" w14:textId="1E1C52C3" w:rsidR="00A41733" w:rsidRDefault="00A41733" w:rsidP="002D131F">
                            <w:pPr>
                              <w:pStyle w:val="Defstart"/>
                              <w:spacing w:line="276" w:lineRule="auto"/>
                              <w:ind w:left="0" w:firstLine="0"/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</w:pPr>
                          </w:p>
                          <w:p w14:paraId="3F9FD21D" w14:textId="1CB314B0" w:rsidR="00A41733" w:rsidRPr="00115620" w:rsidRDefault="00A41733" w:rsidP="002D131F">
                            <w:pPr>
                              <w:pStyle w:val="Defstart"/>
                              <w:spacing w:line="276" w:lineRule="auto"/>
                              <w:ind w:left="0" w:firstLine="0"/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</w:pPr>
                            <w:r>
                              <w:rPr>
                                <w:rStyle w:val="CharDefText"/>
                                <w:rFonts w:ascii="Calibri" w:hAnsi="Calibri" w:cs="Calibri"/>
                                <w:b w:val="0"/>
                                <w:i w:val="0"/>
                                <w:sz w:val="20"/>
                              </w:rPr>
                              <w:t xml:space="preserve">For further information, please contact the Regulation and Compliance Team. </w:t>
                            </w:r>
                          </w:p>
                          <w:p w14:paraId="258488C3" w14:textId="77777777" w:rsidR="00A41733" w:rsidRPr="00A41733" w:rsidRDefault="00A41733" w:rsidP="00A41733">
                            <w:pPr>
                              <w:pStyle w:val="Heading2"/>
                              <w:spacing w:before="0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2"/>
                              </w:rPr>
                            </w:pPr>
                            <w:r w:rsidRPr="00A4173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Contact Details</w:t>
                            </w:r>
                            <w:r w:rsidRPr="00A4173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87F6FF6" w14:textId="77777777" w:rsidR="00A41733" w:rsidRPr="00DA2AAB" w:rsidRDefault="00A41733" w:rsidP="00A417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DA2AAB">
                              <w:rPr>
                                <w:sz w:val="20"/>
                              </w:rPr>
                              <w:t xml:space="preserve">Email: </w:t>
                            </w:r>
                            <w:hyperlink r:id="rId9" w:history="1">
                              <w:r w:rsidRPr="00DA2AAB">
                                <w:rPr>
                                  <w:rStyle w:val="Hyperlink"/>
                                  <w:sz w:val="20"/>
                                </w:rPr>
                                <w:t>regulation.compliance@dfes.wa.gov.au</w:t>
                              </w:r>
                            </w:hyperlink>
                            <w:r w:rsidRPr="00DA2AAB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BF7295F" w14:textId="77777777" w:rsidR="00A41733" w:rsidRPr="00DA2AAB" w:rsidRDefault="00A41733" w:rsidP="00A417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DA2AAB">
                              <w:rPr>
                                <w:sz w:val="20"/>
                              </w:rPr>
                              <w:t>Contact number: 08 9395 9911</w:t>
                            </w:r>
                          </w:p>
                          <w:p w14:paraId="372FC6B5" w14:textId="77777777" w:rsidR="003018FE" w:rsidRPr="00087CCE" w:rsidRDefault="003018FE">
                            <w:pPr>
                              <w:spacing w:before="80"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4A1F" id="Text Box 4" o:spid="_x0000_s1027" type="#_x0000_t202" style="position:absolute;margin-left:-42pt;margin-top:7.55pt;width:545.4pt;height:47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" filled="f" strokecolor="red" strokeweight=".5pt">
                <v:textbox>
                  <w:txbxContent>
                    <w:p w14:paraId="3888E033" w14:textId="77777777" w:rsidR="003018FE" w:rsidRDefault="003018FE">
                      <w:pPr>
                        <w:rPr>
                          <w:rFonts w:ascii="Calibri" w:hAnsi="Calibri" w:cs="Calibri"/>
                          <w:b/>
                          <w:sz w:val="28"/>
                          <w:u w:val="single"/>
                        </w:rPr>
                      </w:pPr>
                      <w:r w:rsidRPr="006F6D82">
                        <w:rPr>
                          <w:rFonts w:ascii="Calibri" w:hAnsi="Calibri" w:cs="Calibri"/>
                          <w:b/>
                          <w:sz w:val="28"/>
                          <w:u w:val="single"/>
                        </w:rPr>
                        <w:t xml:space="preserve">Definitions: </w:t>
                      </w:r>
                    </w:p>
                    <w:p w14:paraId="760DD12D" w14:textId="77777777" w:rsidR="003018FE" w:rsidRPr="00AE6EC4" w:rsidRDefault="003018FE" w:rsidP="00EF789F">
                      <w:pPr>
                        <w:spacing w:before="80" w:line="240" w:lineRule="auto"/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AE6EC4"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  <w:t>Essential service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means any of the following — water supply, </w:t>
                      </w:r>
                      <w:proofErr w:type="gramStart"/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sewerage</w:t>
                      </w:r>
                      <w:proofErr w:type="gramEnd"/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or drainage services;</w:t>
                      </w:r>
                      <w:r w:rsidRPr="00115620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electricity or gas services;</w:t>
                      </w:r>
                      <w:r w:rsidRPr="00115620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telecommunications services;</w:t>
                      </w:r>
                      <w:r w:rsidR="00EF789F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public transport services;</w:t>
                      </w:r>
                      <w:r w:rsidR="00EF789F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rubbish collection or disposal services</w:t>
                      </w:r>
                      <w:r w:rsidR="00863D3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.</w:t>
                      </w:r>
                    </w:p>
                    <w:p w14:paraId="0B1EB239" w14:textId="77777777" w:rsidR="003018FE" w:rsidRPr="00115620" w:rsidRDefault="003018FE" w:rsidP="0011562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15620">
                        <w:rPr>
                          <w:b/>
                          <w:sz w:val="20"/>
                          <w:szCs w:val="20"/>
                        </w:rPr>
                        <w:t>Urgent works</w:t>
                      </w:r>
                      <w:r w:rsidRPr="00115620">
                        <w:rPr>
                          <w:sz w:val="20"/>
                          <w:szCs w:val="20"/>
                        </w:rPr>
                        <w:t>, in relation to the provision of an essential service, means repairs or maintenance necessary for the continued provision, or restoration, of the service.</w:t>
                      </w:r>
                    </w:p>
                    <w:p w14:paraId="33A7E663" w14:textId="77777777" w:rsidR="003018FE" w:rsidRPr="00AE6EC4" w:rsidRDefault="003018FE" w:rsidP="00115620">
                      <w:pPr>
                        <w:spacing w:line="240" w:lineRule="auto"/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115620">
                        <w:rPr>
                          <w:b/>
                          <w:sz w:val="20"/>
                          <w:szCs w:val="20"/>
                        </w:rPr>
                        <w:t>Approved fire extinguisher</w:t>
                      </w:r>
                      <w:r w:rsidRPr="00115620">
                        <w:rPr>
                          <w:sz w:val="20"/>
                          <w:szCs w:val="20"/>
                        </w:rPr>
                        <w:t xml:space="preserve"> means a fire extinguisher suitable to extinguish a fire likely to occur in relation to the activity; and has a capacity of at least 9 kg or 9 L; and complies with the current Australian Standards.</w:t>
                      </w:r>
                    </w:p>
                    <w:p w14:paraId="4B3E27D9" w14:textId="77777777" w:rsidR="003018FE" w:rsidRPr="00AE6EC4" w:rsidRDefault="003018FE" w:rsidP="00115620">
                      <w:pPr>
                        <w:spacing w:before="80" w:line="240" w:lineRule="auto"/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AE6EC4"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  <w:t>Approved Fire Fighting Vehicle: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means a vehicle that — </w:t>
                      </w:r>
                      <w:r w:rsidRPr="00115620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(a)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ab/>
                        <w:t>has 1 or more water storage tanks mounted upon it; and  (b) is located in close proximity to the hot work (c) is capable of traversing the site (d) is equipped with: at least 20 m of 19 mm diameter fire hose fitted with an adjustable nozzle in proper working order, having a full spray pattern capable of projecting a 6 m jet of water; AND a pump in proper working order that is capable of delivering a minimum of 120 L of water per minute at 700 kPa through the hose.</w:t>
                      </w:r>
                    </w:p>
                    <w:p w14:paraId="2A8B9F67" w14:textId="77777777" w:rsidR="003018FE" w:rsidRPr="00AE6EC4" w:rsidRDefault="003018FE" w:rsidP="00115620">
                      <w:pPr>
                        <w:spacing w:before="80" w:line="240" w:lineRule="auto"/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AE6EC4"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Hot work:  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means the operation in the open air of — (a) welding apparatus of any kind; or (b) power operated abrasive cutting discs of any kind.</w:t>
                      </w:r>
                    </w:p>
                    <w:p w14:paraId="496EF7A7" w14:textId="77777777" w:rsidR="003018FE" w:rsidRPr="00AE6EC4" w:rsidRDefault="003018FE" w:rsidP="00115620">
                      <w:pPr>
                        <w:spacing w:before="80" w:line="240" w:lineRule="auto"/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AE6EC4"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  <w:t>Fire Break Notice:</w:t>
                      </w:r>
                      <w:r w:rsidRPr="00AE6EC4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means a notice issued by the relevant local government under section 33(1) of the </w:t>
                      </w:r>
                      <w:r w:rsidRPr="00AE6EC4">
                        <w:rPr>
                          <w:rFonts w:ascii="Calibri" w:eastAsia="Times New Roman" w:hAnsi="Calibri" w:cs="Calibri"/>
                          <w:i/>
                          <w:snapToGrid w:val="0"/>
                          <w:sz w:val="20"/>
                          <w:szCs w:val="20"/>
                          <w:lang w:eastAsia="en-AU"/>
                        </w:rPr>
                        <w:t>Bush Fires Act 1954.</w:t>
                      </w:r>
                    </w:p>
                    <w:p w14:paraId="411F9537" w14:textId="71FE38F1" w:rsidR="003018FE" w:rsidRPr="00AE6EC4" w:rsidRDefault="003018FE" w:rsidP="00115620">
                      <w:pPr>
                        <w:spacing w:before="80" w:line="240" w:lineRule="auto"/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</w:pPr>
                      <w:r w:rsidRPr="00AE6EC4"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  <w:lang w:eastAsia="en-AU"/>
                        </w:rPr>
                        <w:t>Fire Detection Officer:</w:t>
                      </w:r>
                      <w:r w:rsidR="003F41EA" w:rsidRPr="003F41EA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means an able-bodied person, in addition to the person carrying out the </w:t>
                      </w:r>
                      <w:r w:rsidR="003F41EA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hot</w:t>
                      </w:r>
                      <w:r w:rsidR="003F41EA" w:rsidRPr="003F41EA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work, who is trained in: the operation of approved fire extinguishers, and the operation of </w:t>
                      </w:r>
                      <w:r w:rsidR="00520B7E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>any required</w:t>
                      </w:r>
                      <w:r w:rsidR="003F41EA" w:rsidRPr="003F41EA">
                        <w:rPr>
                          <w:rFonts w:ascii="Calibri" w:eastAsia="Times New Roman" w:hAnsi="Calibri" w:cs="Calibri"/>
                          <w:snapToGrid w:val="0"/>
                          <w:sz w:val="20"/>
                          <w:szCs w:val="20"/>
                          <w:lang w:eastAsia="en-AU"/>
                        </w:rPr>
                        <w:t xml:space="preserve"> approved firefighting vehicle located on the site, AND if within 30m of vegetation, the suppression and fighting of bush fire.</w:t>
                      </w:r>
                    </w:p>
                    <w:p w14:paraId="73AC26C2" w14:textId="77777777" w:rsidR="003018FE" w:rsidRPr="00115620" w:rsidRDefault="003018FE" w:rsidP="00115620">
                      <w:pPr>
                        <w:pStyle w:val="Defstart"/>
                        <w:spacing w:after="160" w:line="240" w:lineRule="auto"/>
                        <w:ind w:left="0" w:firstLine="0"/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</w:pPr>
                      <w:r w:rsidRPr="00115620">
                        <w:rPr>
                          <w:rStyle w:val="CharDefText"/>
                          <w:rFonts w:ascii="Calibri" w:hAnsi="Calibri" w:cs="Calibri"/>
                          <w:i w:val="0"/>
                          <w:sz w:val="20"/>
                        </w:rPr>
                        <w:t>Bush:</w:t>
                      </w:r>
                      <w:r w:rsidRPr="00115620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 The </w:t>
                      </w:r>
                      <w:r w:rsidRPr="00115620">
                        <w:rPr>
                          <w:rStyle w:val="CharDefText"/>
                          <w:rFonts w:ascii="Calibri" w:hAnsi="Calibri" w:cs="Calibri"/>
                          <w:b w:val="0"/>
                          <w:sz w:val="20"/>
                        </w:rPr>
                        <w:t xml:space="preserve">Bush Fires Act 1954 </w:t>
                      </w:r>
                      <w:r w:rsidRPr="00115620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>defines bush as follows - bush includes trees, bushes, plants, stubble, scrub, and undergrowth of all kinds whatsoever whether alive or dead and whether standing or not standing and also a part of a tree, bush, plant, or undergrowth, and whether severed therefrom or not so severed.</w:t>
                      </w:r>
                      <w:r w:rsidR="008F789C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 ** to simplify – this definition refers to vegetation. </w:t>
                      </w:r>
                    </w:p>
                    <w:p w14:paraId="2E57E121" w14:textId="77777777" w:rsidR="003018FE" w:rsidRDefault="003018FE">
                      <w:pPr>
                        <w:pStyle w:val="Defstart"/>
                        <w:spacing w:line="360" w:lineRule="auto"/>
                        <w:ind w:left="0" w:firstLine="0"/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</w:pPr>
                      <w:r w:rsidRPr="00115620">
                        <w:rPr>
                          <w:rStyle w:val="CharDefText"/>
                          <w:rFonts w:ascii="Calibri" w:hAnsi="Calibri" w:cs="Calibri"/>
                          <w:i w:val="0"/>
                          <w:sz w:val="20"/>
                        </w:rPr>
                        <w:t>Open Air:</w:t>
                      </w:r>
                      <w:r w:rsidRPr="00115620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 Open air means anywhere that is not fully enclosed by a building or structure.</w:t>
                      </w:r>
                    </w:p>
                    <w:p w14:paraId="7C64842E" w14:textId="53FB2F20" w:rsidR="00D0237B" w:rsidRDefault="00D0237B" w:rsidP="002D131F">
                      <w:pPr>
                        <w:pStyle w:val="Defstart"/>
                        <w:spacing w:line="276" w:lineRule="auto"/>
                        <w:ind w:left="0" w:firstLine="0"/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</w:pPr>
                      <w:r w:rsidRPr="002D131F">
                        <w:rPr>
                          <w:rStyle w:val="CharDefText"/>
                          <w:rFonts w:ascii="Calibri" w:hAnsi="Calibri" w:cs="Calibri"/>
                          <w:i w:val="0"/>
                          <w:sz w:val="20"/>
                        </w:rPr>
                        <w:t>Rail Grinding</w:t>
                      </w:r>
                      <w:r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>: means hot work involving the grinding of tracks for railways for the purpose of constructing</w:t>
                      </w:r>
                      <w:r w:rsidR="002D131F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, </w:t>
                      </w:r>
                      <w:proofErr w:type="gramStart"/>
                      <w:r w:rsidR="002D131F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>maintaining</w:t>
                      </w:r>
                      <w:proofErr w:type="gramEnd"/>
                      <w:r w:rsidR="002D131F"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 or repairing the tracks.</w:t>
                      </w:r>
                    </w:p>
                    <w:p w14:paraId="664BC427" w14:textId="1E1C52C3" w:rsidR="00A41733" w:rsidRDefault="00A41733" w:rsidP="002D131F">
                      <w:pPr>
                        <w:pStyle w:val="Defstart"/>
                        <w:spacing w:line="276" w:lineRule="auto"/>
                        <w:ind w:left="0" w:firstLine="0"/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</w:pPr>
                    </w:p>
                    <w:p w14:paraId="3F9FD21D" w14:textId="1CB314B0" w:rsidR="00A41733" w:rsidRPr="00115620" w:rsidRDefault="00A41733" w:rsidP="002D131F">
                      <w:pPr>
                        <w:pStyle w:val="Defstart"/>
                        <w:spacing w:line="276" w:lineRule="auto"/>
                        <w:ind w:left="0" w:firstLine="0"/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</w:pPr>
                      <w:r>
                        <w:rPr>
                          <w:rStyle w:val="CharDefText"/>
                          <w:rFonts w:ascii="Calibri" w:hAnsi="Calibri" w:cs="Calibri"/>
                          <w:b w:val="0"/>
                          <w:i w:val="0"/>
                          <w:sz w:val="20"/>
                        </w:rPr>
                        <w:t xml:space="preserve">For further information, please contact the Regulation and Compliance Team. </w:t>
                      </w:r>
                    </w:p>
                    <w:p w14:paraId="258488C3" w14:textId="77777777" w:rsidR="00A41733" w:rsidRPr="00A41733" w:rsidRDefault="00A41733" w:rsidP="00A41733">
                      <w:pPr>
                        <w:pStyle w:val="Heading2"/>
                        <w:spacing w:before="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2"/>
                        </w:rPr>
                      </w:pPr>
                      <w:r w:rsidRPr="00A41733"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</w:rPr>
                        <w:t>Contact Details</w:t>
                      </w:r>
                      <w:r w:rsidRPr="00A4173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87F6FF6" w14:textId="77777777" w:rsidR="00A41733" w:rsidRPr="00DA2AAB" w:rsidRDefault="00A41733" w:rsidP="00A417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DA2AAB">
                        <w:rPr>
                          <w:sz w:val="20"/>
                        </w:rPr>
                        <w:t xml:space="preserve">Email: </w:t>
                      </w:r>
                      <w:hyperlink r:id="rId10" w:history="1">
                        <w:r w:rsidRPr="00DA2AAB">
                          <w:rPr>
                            <w:rStyle w:val="Hyperlink"/>
                            <w:sz w:val="20"/>
                          </w:rPr>
                          <w:t>regulation.compliance@dfes.wa.gov.au</w:t>
                        </w:r>
                      </w:hyperlink>
                      <w:r w:rsidRPr="00DA2AAB">
                        <w:rPr>
                          <w:sz w:val="20"/>
                        </w:rPr>
                        <w:t xml:space="preserve"> </w:t>
                      </w:r>
                    </w:p>
                    <w:p w14:paraId="7BF7295F" w14:textId="77777777" w:rsidR="00A41733" w:rsidRPr="00DA2AAB" w:rsidRDefault="00A41733" w:rsidP="00A417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DA2AAB">
                        <w:rPr>
                          <w:sz w:val="20"/>
                        </w:rPr>
                        <w:t>Contact number: 08 9395 9911</w:t>
                      </w:r>
                    </w:p>
                    <w:p w14:paraId="372FC6B5" w14:textId="77777777" w:rsidR="003018FE" w:rsidRPr="00087CCE" w:rsidRDefault="003018FE">
                      <w:pPr>
                        <w:spacing w:before="80" w:after="0" w:line="360" w:lineRule="auto"/>
                        <w:rPr>
                          <w:rFonts w:ascii="Calibri" w:eastAsia="Times New Roman" w:hAnsi="Calibri" w:cs="Calibri"/>
                          <w:b/>
                          <w:snapToGrid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EFB21A" w14:textId="77777777" w:rsidR="003018FE" w:rsidRPr="006F6D82" w:rsidRDefault="003018FE" w:rsidP="006F6D82">
      <w:pPr>
        <w:rPr>
          <w:rFonts w:ascii="Calibri" w:hAnsi="Calibri" w:cs="Calibri"/>
          <w:b/>
          <w:sz w:val="28"/>
          <w:u w:val="single"/>
        </w:rPr>
      </w:pPr>
    </w:p>
    <w:sectPr w:rsidR="003018FE" w:rsidRPr="006F6D82" w:rsidSect="00115620">
      <w:headerReference w:type="default" r:id="rId11"/>
      <w:footerReference w:type="default" r:id="rId12"/>
      <w:pgSz w:w="11906" w:h="16838"/>
      <w:pgMar w:top="284" w:right="1440" w:bottom="851" w:left="1440" w:header="170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7D05" w14:textId="77777777" w:rsidR="005E6185" w:rsidRDefault="005E6185" w:rsidP="00136607">
      <w:pPr>
        <w:spacing w:after="0" w:line="240" w:lineRule="auto"/>
      </w:pPr>
      <w:r>
        <w:separator/>
      </w:r>
    </w:p>
  </w:endnote>
  <w:endnote w:type="continuationSeparator" w:id="0">
    <w:p w14:paraId="6C4C744E" w14:textId="77777777" w:rsidR="005E6185" w:rsidRDefault="005E6185" w:rsidP="0013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DA70" w14:textId="60319614" w:rsidR="00CE56A7" w:rsidRPr="00CE56A7" w:rsidRDefault="00CE56A7" w:rsidP="00CE56A7">
    <w:pPr>
      <w:pStyle w:val="Footer"/>
    </w:pPr>
    <w:r w:rsidRPr="00CE56A7">
      <w:rPr>
        <w:sz w:val="18"/>
      </w:rPr>
      <w:t xml:space="preserve">Checklist – </w:t>
    </w:r>
    <w:r w:rsidR="00017EC1">
      <w:rPr>
        <w:sz w:val="18"/>
      </w:rPr>
      <w:t>Hot Work</w:t>
    </w:r>
    <w:r w:rsidRPr="00CE56A7">
      <w:rPr>
        <w:sz w:val="18"/>
      </w:rPr>
      <w:t xml:space="preserve"> during a Total Fire Ban – section 22C of the </w:t>
    </w:r>
    <w:r w:rsidRPr="00CE56A7">
      <w:rPr>
        <w:i/>
        <w:sz w:val="18"/>
      </w:rPr>
      <w:t>Bush Fires Act 1954</w:t>
    </w:r>
    <w:r>
      <w:rPr>
        <w:i/>
        <w:sz w:val="18"/>
      </w:rPr>
      <w:t xml:space="preserve"> </w:t>
    </w:r>
    <w:r w:rsidR="003018FE">
      <w:rPr>
        <w:i/>
        <w:sz w:val="18"/>
      </w:rPr>
      <w:t xml:space="preserve">- </w:t>
    </w:r>
    <w:r w:rsidR="003018FE" w:rsidRPr="00CE56A7">
      <w:rPr>
        <w:sz w:val="18"/>
      </w:rPr>
      <w:t>Western Australia</w:t>
    </w:r>
    <w:r w:rsidR="003018FE">
      <w:rPr>
        <w:sz w:val="18"/>
      </w:rPr>
      <w:t xml:space="preserve"> – V</w:t>
    </w:r>
    <w:r w:rsidR="00A41733">
      <w:rPr>
        <w:sz w:val="18"/>
      </w:rPr>
      <w:t>3</w:t>
    </w:r>
    <w:r w:rsidR="003018FE">
      <w:rPr>
        <w:sz w:val="18"/>
      </w:rPr>
      <w:t xml:space="preserve"> </w:t>
    </w:r>
    <w:r w:rsidR="00A41733">
      <w:rPr>
        <w:sz w:val="18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BAED" w14:textId="77777777" w:rsidR="005E6185" w:rsidRDefault="005E6185" w:rsidP="00136607">
      <w:pPr>
        <w:spacing w:after="0" w:line="240" w:lineRule="auto"/>
      </w:pPr>
      <w:r>
        <w:separator/>
      </w:r>
    </w:p>
  </w:footnote>
  <w:footnote w:type="continuationSeparator" w:id="0">
    <w:p w14:paraId="696B0DC7" w14:textId="77777777" w:rsidR="005E6185" w:rsidRDefault="005E6185" w:rsidP="0013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0B2E1F2" w14:textId="77777777" w:rsidR="00B317BC" w:rsidRDefault="00B317BC">
        <w:pPr>
          <w:pStyle w:val="Header"/>
          <w:jc w:val="right"/>
        </w:pPr>
        <w:r w:rsidRPr="00B317BC">
          <w:rPr>
            <w:sz w:val="18"/>
          </w:rPr>
          <w:t xml:space="preserve">Page </w:t>
        </w:r>
        <w:r w:rsidRPr="00B317BC">
          <w:rPr>
            <w:b/>
            <w:bCs/>
            <w:sz w:val="20"/>
            <w:szCs w:val="24"/>
          </w:rPr>
          <w:fldChar w:fldCharType="begin"/>
        </w:r>
        <w:r w:rsidRPr="00B317BC">
          <w:rPr>
            <w:b/>
            <w:bCs/>
            <w:sz w:val="18"/>
          </w:rPr>
          <w:instrText xml:space="preserve"> PAGE </w:instrText>
        </w:r>
        <w:r w:rsidRPr="00B317BC">
          <w:rPr>
            <w:b/>
            <w:bCs/>
            <w:sz w:val="20"/>
            <w:szCs w:val="24"/>
          </w:rPr>
          <w:fldChar w:fldCharType="separate"/>
        </w:r>
        <w:r w:rsidRPr="00B317BC">
          <w:rPr>
            <w:b/>
            <w:bCs/>
            <w:noProof/>
            <w:sz w:val="18"/>
          </w:rPr>
          <w:t>2</w:t>
        </w:r>
        <w:r w:rsidRPr="00B317BC">
          <w:rPr>
            <w:b/>
            <w:bCs/>
            <w:sz w:val="20"/>
            <w:szCs w:val="24"/>
          </w:rPr>
          <w:fldChar w:fldCharType="end"/>
        </w:r>
        <w:r w:rsidRPr="00B317BC">
          <w:rPr>
            <w:sz w:val="18"/>
          </w:rPr>
          <w:t xml:space="preserve"> of </w:t>
        </w:r>
        <w:r w:rsidRPr="00B317BC">
          <w:rPr>
            <w:b/>
            <w:bCs/>
            <w:sz w:val="20"/>
            <w:szCs w:val="24"/>
          </w:rPr>
          <w:fldChar w:fldCharType="begin"/>
        </w:r>
        <w:r w:rsidRPr="00B317BC">
          <w:rPr>
            <w:b/>
            <w:bCs/>
            <w:sz w:val="18"/>
          </w:rPr>
          <w:instrText xml:space="preserve"> NUMPAGES  </w:instrText>
        </w:r>
        <w:r w:rsidRPr="00B317BC">
          <w:rPr>
            <w:b/>
            <w:bCs/>
            <w:sz w:val="20"/>
            <w:szCs w:val="24"/>
          </w:rPr>
          <w:fldChar w:fldCharType="separate"/>
        </w:r>
        <w:r w:rsidRPr="00B317BC">
          <w:rPr>
            <w:b/>
            <w:bCs/>
            <w:noProof/>
            <w:sz w:val="18"/>
          </w:rPr>
          <w:t>2</w:t>
        </w:r>
        <w:r w:rsidRPr="00B317BC">
          <w:rPr>
            <w:b/>
            <w:bCs/>
            <w:sz w:val="20"/>
            <w:szCs w:val="24"/>
          </w:rPr>
          <w:fldChar w:fldCharType="end"/>
        </w:r>
      </w:p>
    </w:sdtContent>
  </w:sdt>
  <w:p w14:paraId="6992C3BF" w14:textId="77777777" w:rsidR="00AD06DC" w:rsidRDefault="00AD0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E6A"/>
    <w:multiLevelType w:val="hybridMultilevel"/>
    <w:tmpl w:val="CF1C0DD2"/>
    <w:lvl w:ilvl="0" w:tplc="03B0C764">
      <w:start w:val="1"/>
      <w:numFmt w:val="lowerLetter"/>
      <w:lvlText w:val="(%1)"/>
      <w:lvlJc w:val="left"/>
      <w:pPr>
        <w:ind w:left="1620" w:hanging="55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8" w:hanging="360"/>
      </w:pPr>
    </w:lvl>
    <w:lvl w:ilvl="2" w:tplc="0C09001B" w:tentative="1">
      <w:start w:val="1"/>
      <w:numFmt w:val="lowerRoman"/>
      <w:lvlText w:val="%3."/>
      <w:lvlJc w:val="right"/>
      <w:pPr>
        <w:ind w:left="2868" w:hanging="180"/>
      </w:pPr>
    </w:lvl>
    <w:lvl w:ilvl="3" w:tplc="0C09000F" w:tentative="1">
      <w:start w:val="1"/>
      <w:numFmt w:val="decimal"/>
      <w:lvlText w:val="%4."/>
      <w:lvlJc w:val="left"/>
      <w:pPr>
        <w:ind w:left="3588" w:hanging="360"/>
      </w:pPr>
    </w:lvl>
    <w:lvl w:ilvl="4" w:tplc="0C090019" w:tentative="1">
      <w:start w:val="1"/>
      <w:numFmt w:val="lowerLetter"/>
      <w:lvlText w:val="%5."/>
      <w:lvlJc w:val="left"/>
      <w:pPr>
        <w:ind w:left="4308" w:hanging="360"/>
      </w:pPr>
    </w:lvl>
    <w:lvl w:ilvl="5" w:tplc="0C09001B" w:tentative="1">
      <w:start w:val="1"/>
      <w:numFmt w:val="lowerRoman"/>
      <w:lvlText w:val="%6."/>
      <w:lvlJc w:val="right"/>
      <w:pPr>
        <w:ind w:left="5028" w:hanging="180"/>
      </w:pPr>
    </w:lvl>
    <w:lvl w:ilvl="6" w:tplc="0C09000F" w:tentative="1">
      <w:start w:val="1"/>
      <w:numFmt w:val="decimal"/>
      <w:lvlText w:val="%7."/>
      <w:lvlJc w:val="left"/>
      <w:pPr>
        <w:ind w:left="5748" w:hanging="360"/>
      </w:pPr>
    </w:lvl>
    <w:lvl w:ilvl="7" w:tplc="0C090019" w:tentative="1">
      <w:start w:val="1"/>
      <w:numFmt w:val="lowerLetter"/>
      <w:lvlText w:val="%8."/>
      <w:lvlJc w:val="left"/>
      <w:pPr>
        <w:ind w:left="6468" w:hanging="360"/>
      </w:pPr>
    </w:lvl>
    <w:lvl w:ilvl="8" w:tplc="0C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00662C"/>
    <w:multiLevelType w:val="hybridMultilevel"/>
    <w:tmpl w:val="FA94C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983"/>
    <w:multiLevelType w:val="hybridMultilevel"/>
    <w:tmpl w:val="F13653A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6B88"/>
    <w:multiLevelType w:val="hybridMultilevel"/>
    <w:tmpl w:val="E2BA8C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7C1A"/>
    <w:multiLevelType w:val="hybridMultilevel"/>
    <w:tmpl w:val="E40AD32A"/>
    <w:lvl w:ilvl="0" w:tplc="2CC25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4771"/>
    <w:multiLevelType w:val="hybridMultilevel"/>
    <w:tmpl w:val="66925DD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7FD"/>
    <w:multiLevelType w:val="hybridMultilevel"/>
    <w:tmpl w:val="A0EC27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20284"/>
    <w:multiLevelType w:val="hybridMultilevel"/>
    <w:tmpl w:val="76446D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60815"/>
    <w:multiLevelType w:val="hybridMultilevel"/>
    <w:tmpl w:val="32FEB1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05FC"/>
    <w:multiLevelType w:val="hybridMultilevel"/>
    <w:tmpl w:val="E40AD32A"/>
    <w:lvl w:ilvl="0" w:tplc="2CC25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70"/>
    <w:rsid w:val="00007879"/>
    <w:rsid w:val="00017EC1"/>
    <w:rsid w:val="00067420"/>
    <w:rsid w:val="000931F7"/>
    <w:rsid w:val="000F59E4"/>
    <w:rsid w:val="001037B7"/>
    <w:rsid w:val="00110033"/>
    <w:rsid w:val="00115620"/>
    <w:rsid w:val="00136607"/>
    <w:rsid w:val="001873DA"/>
    <w:rsid w:val="001B46DA"/>
    <w:rsid w:val="001D0500"/>
    <w:rsid w:val="002C4D0F"/>
    <w:rsid w:val="002D131F"/>
    <w:rsid w:val="002D75D6"/>
    <w:rsid w:val="002E358C"/>
    <w:rsid w:val="002E4272"/>
    <w:rsid w:val="003018FE"/>
    <w:rsid w:val="0033100D"/>
    <w:rsid w:val="00377953"/>
    <w:rsid w:val="003A57F3"/>
    <w:rsid w:val="003E72C3"/>
    <w:rsid w:val="003F41EA"/>
    <w:rsid w:val="003F5CD8"/>
    <w:rsid w:val="00425D7F"/>
    <w:rsid w:val="004719E3"/>
    <w:rsid w:val="004759A8"/>
    <w:rsid w:val="00476D70"/>
    <w:rsid w:val="004A209D"/>
    <w:rsid w:val="004A759E"/>
    <w:rsid w:val="004B7FAB"/>
    <w:rsid w:val="00520B7E"/>
    <w:rsid w:val="0053222F"/>
    <w:rsid w:val="00560377"/>
    <w:rsid w:val="00571160"/>
    <w:rsid w:val="005906F1"/>
    <w:rsid w:val="005A220C"/>
    <w:rsid w:val="005D21C8"/>
    <w:rsid w:val="005E6185"/>
    <w:rsid w:val="00602D17"/>
    <w:rsid w:val="00610199"/>
    <w:rsid w:val="00631C68"/>
    <w:rsid w:val="00650CE5"/>
    <w:rsid w:val="006F6D82"/>
    <w:rsid w:val="007A5B22"/>
    <w:rsid w:val="007D3091"/>
    <w:rsid w:val="00815C78"/>
    <w:rsid w:val="008458C2"/>
    <w:rsid w:val="00862E77"/>
    <w:rsid w:val="00863D34"/>
    <w:rsid w:val="00887BE5"/>
    <w:rsid w:val="008F789C"/>
    <w:rsid w:val="009230EB"/>
    <w:rsid w:val="009B5C15"/>
    <w:rsid w:val="009D169C"/>
    <w:rsid w:val="00A022D6"/>
    <w:rsid w:val="00A41733"/>
    <w:rsid w:val="00A5249F"/>
    <w:rsid w:val="00AB18D1"/>
    <w:rsid w:val="00AB56D7"/>
    <w:rsid w:val="00AD06DC"/>
    <w:rsid w:val="00AE6EC4"/>
    <w:rsid w:val="00AE6F2C"/>
    <w:rsid w:val="00B004AF"/>
    <w:rsid w:val="00B24252"/>
    <w:rsid w:val="00B317BC"/>
    <w:rsid w:val="00B448FF"/>
    <w:rsid w:val="00BC0813"/>
    <w:rsid w:val="00C23109"/>
    <w:rsid w:val="00CC5F88"/>
    <w:rsid w:val="00CD351C"/>
    <w:rsid w:val="00CE56A7"/>
    <w:rsid w:val="00CF3786"/>
    <w:rsid w:val="00D0237B"/>
    <w:rsid w:val="00D22D31"/>
    <w:rsid w:val="00D642EE"/>
    <w:rsid w:val="00D82252"/>
    <w:rsid w:val="00D878EE"/>
    <w:rsid w:val="00E26E76"/>
    <w:rsid w:val="00E820ED"/>
    <w:rsid w:val="00EA78F0"/>
    <w:rsid w:val="00EB1AFE"/>
    <w:rsid w:val="00EF789F"/>
    <w:rsid w:val="00F1290A"/>
    <w:rsid w:val="00F61F5A"/>
    <w:rsid w:val="00FC75F6"/>
    <w:rsid w:val="00FE26AF"/>
    <w:rsid w:val="00FE65DA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3E1D13"/>
  <w15:chartTrackingRefBased/>
  <w15:docId w15:val="{7BBCFEBE-097A-45D0-BAAF-3E3338B6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4B7FAB"/>
    <w:pPr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6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6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07"/>
  </w:style>
  <w:style w:type="paragraph" w:styleId="Footer">
    <w:name w:val="footer"/>
    <w:basedOn w:val="Normal"/>
    <w:link w:val="FooterChar"/>
    <w:uiPriority w:val="99"/>
    <w:unhideWhenUsed/>
    <w:rsid w:val="00136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07"/>
  </w:style>
  <w:style w:type="paragraph" w:customStyle="1" w:styleId="Defpara">
    <w:name w:val="Defpara"/>
    <w:rsid w:val="006F6D82"/>
    <w:pPr>
      <w:tabs>
        <w:tab w:val="right" w:pos="1332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napToGrid w:val="0"/>
      <w:sz w:val="24"/>
      <w:szCs w:val="20"/>
      <w:lang w:eastAsia="en-AU"/>
    </w:rPr>
  </w:style>
  <w:style w:type="paragraph" w:customStyle="1" w:styleId="Defstart">
    <w:name w:val="Defstart"/>
    <w:rsid w:val="006F6D82"/>
    <w:pPr>
      <w:spacing w:before="80" w:after="0" w:line="260" w:lineRule="atLeast"/>
      <w:ind w:left="879" w:hanging="879"/>
    </w:pPr>
    <w:rPr>
      <w:rFonts w:ascii="Times New Roman" w:eastAsia="Times New Roman" w:hAnsi="Times New Roman" w:cs="Times New Roman"/>
      <w:snapToGrid w:val="0"/>
      <w:sz w:val="24"/>
      <w:szCs w:val="20"/>
      <w:lang w:eastAsia="en-AU"/>
    </w:rPr>
  </w:style>
  <w:style w:type="paragraph" w:customStyle="1" w:styleId="Defsubpara">
    <w:name w:val="Defsubpara"/>
    <w:rsid w:val="006F6D82"/>
    <w:pPr>
      <w:keepLines/>
      <w:tabs>
        <w:tab w:val="right" w:pos="2041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napToGrid w:val="0"/>
      <w:sz w:val="24"/>
      <w:szCs w:val="20"/>
      <w:lang w:eastAsia="en-AU"/>
    </w:rPr>
  </w:style>
  <w:style w:type="character" w:customStyle="1" w:styleId="CharDefText">
    <w:name w:val="CharDefText"/>
    <w:basedOn w:val="DefaultParagraphFont"/>
    <w:rsid w:val="006F6D82"/>
    <w:rPr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2C4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5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953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E6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2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A4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gency.wa.gov.au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ulation.compliance@dfes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ulation.compliance@dfes.wa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A7E4-B6E2-4A30-8EB4-23A6919B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RAMPONI Tanya</dc:creator>
  <cp:keywords/>
  <dc:description/>
  <cp:lastModifiedBy>KLASZTORNY Melissa</cp:lastModifiedBy>
  <cp:revision>3</cp:revision>
  <cp:lastPrinted>2020-04-22T03:21:00Z</cp:lastPrinted>
  <dcterms:created xsi:type="dcterms:W3CDTF">2022-08-23T00:22:00Z</dcterms:created>
  <dcterms:modified xsi:type="dcterms:W3CDTF">2022-08-23T04:08:00Z</dcterms:modified>
</cp:coreProperties>
</file>